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A4" w:rsidRDefault="004629A4" w:rsidP="004629A4">
      <w:pPr>
        <w:spacing w:after="276" w:line="259" w:lineRule="auto"/>
        <w:jc w:val="center"/>
      </w:pPr>
      <w:r>
        <w:t>Критерии доступности и качества медицинской помощи</w:t>
      </w:r>
    </w:p>
    <w:p w:rsidR="004629A4" w:rsidRDefault="004629A4" w:rsidP="004629A4">
      <w:pPr>
        <w:ind w:left="-15" w:right="-5" w:firstLine="576"/>
      </w:pPr>
      <w:r>
        <w:t>1. Критерии качества и доступности медицинской помощи, а также установленные их целевые значения на 2023-2025 года указаны в таблице № 5.</w:t>
      </w:r>
    </w:p>
    <w:p w:rsidR="004629A4" w:rsidRDefault="004629A4" w:rsidP="004629A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 итогам реализации Программы в 20</w:t>
      </w:r>
      <w:r w:rsidRPr="00FB007A">
        <w:rPr>
          <w:szCs w:val="28"/>
        </w:rPr>
        <w:t>2</w:t>
      </w:r>
      <w:r>
        <w:rPr>
          <w:szCs w:val="28"/>
        </w:rPr>
        <w:t>3 − 20</w:t>
      </w:r>
      <w:r w:rsidRPr="00E31EC3">
        <w:rPr>
          <w:szCs w:val="28"/>
        </w:rPr>
        <w:t>2</w:t>
      </w:r>
      <w:r>
        <w:rPr>
          <w:szCs w:val="28"/>
        </w:rPr>
        <w:t>5 годах в ОГБУЗ Судиславская РБ планируется достичь следующих показателей:</w:t>
      </w:r>
    </w:p>
    <w:p w:rsidR="00AA4653" w:rsidRDefault="004629A4" w:rsidP="004629A4">
      <w:pPr>
        <w:jc w:val="right"/>
      </w:pPr>
      <w:r>
        <w:t>Таблица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658"/>
        <w:gridCol w:w="4582"/>
        <w:gridCol w:w="1188"/>
        <w:gridCol w:w="1242"/>
        <w:gridCol w:w="1009"/>
        <w:gridCol w:w="1074"/>
        <w:gridCol w:w="7"/>
      </w:tblGrid>
      <w:tr w:rsidR="004629A4" w:rsidTr="0004298B">
        <w:trPr>
          <w:gridAfter w:val="1"/>
          <w:wAfter w:w="7" w:type="dxa"/>
        </w:trPr>
        <w:tc>
          <w:tcPr>
            <w:tcW w:w="658" w:type="dxa"/>
            <w:vAlign w:val="center"/>
          </w:tcPr>
          <w:p w:rsidR="004629A4" w:rsidRDefault="004629A4" w:rsidP="006D47C8">
            <w:pPr>
              <w:spacing w:after="0" w:line="259" w:lineRule="auto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4582" w:type="dxa"/>
            <w:vAlign w:val="center"/>
          </w:tcPr>
          <w:p w:rsidR="004629A4" w:rsidRDefault="004629A4" w:rsidP="006D47C8">
            <w:pPr>
              <w:spacing w:after="0" w:line="259" w:lineRule="auto"/>
              <w:ind w:right="19"/>
              <w:jc w:val="center"/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188" w:type="dxa"/>
            <w:vAlign w:val="center"/>
          </w:tcPr>
          <w:p w:rsidR="004629A4" w:rsidRDefault="004629A4" w:rsidP="006D47C8">
            <w:pPr>
              <w:spacing w:after="0" w:line="259" w:lineRule="auto"/>
              <w:ind w:right="16"/>
              <w:jc w:val="center"/>
            </w:pPr>
            <w:proofErr w:type="spellStart"/>
            <w:r>
              <w:rPr>
                <w:sz w:val="20"/>
              </w:rPr>
              <w:t>Еди</w:t>
            </w:r>
            <w:proofErr w:type="spellEnd"/>
            <w:r>
              <w:rPr>
                <w:sz w:val="20"/>
              </w:rPr>
              <w:t>-</w:t>
            </w:r>
          </w:p>
          <w:p w:rsidR="004629A4" w:rsidRDefault="004629A4" w:rsidP="006D47C8">
            <w:pPr>
              <w:spacing w:after="0" w:line="259" w:lineRule="auto"/>
              <w:ind w:left="75" w:firstLine="24"/>
              <w:jc w:val="center"/>
            </w:pPr>
            <w:r>
              <w:rPr>
                <w:sz w:val="20"/>
              </w:rPr>
              <w:t>НИЩ измерения</w:t>
            </w:r>
          </w:p>
        </w:tc>
        <w:tc>
          <w:tcPr>
            <w:tcW w:w="1242" w:type="dxa"/>
            <w:vAlign w:val="center"/>
          </w:tcPr>
          <w:p w:rsidR="004629A4" w:rsidRDefault="004629A4" w:rsidP="006D47C8">
            <w:pPr>
              <w:spacing w:after="0" w:line="259" w:lineRule="auto"/>
              <w:ind w:left="99" w:right="106" w:firstLine="29"/>
              <w:jc w:val="center"/>
            </w:pPr>
            <w:r>
              <w:rPr>
                <w:sz w:val="20"/>
              </w:rPr>
              <w:t>Значения по итогам 2023 года</w:t>
            </w:r>
          </w:p>
        </w:tc>
        <w:tc>
          <w:tcPr>
            <w:tcW w:w="1009" w:type="dxa"/>
            <w:vAlign w:val="center"/>
          </w:tcPr>
          <w:p w:rsidR="004629A4" w:rsidRDefault="004629A4" w:rsidP="006D47C8">
            <w:pPr>
              <w:spacing w:after="0" w:line="259" w:lineRule="auto"/>
              <w:ind w:firstLine="1"/>
              <w:jc w:val="center"/>
            </w:pPr>
            <w:r>
              <w:rPr>
                <w:sz w:val="20"/>
              </w:rPr>
              <w:t>Значения по итогам 2024 года</w:t>
            </w:r>
          </w:p>
        </w:tc>
        <w:tc>
          <w:tcPr>
            <w:tcW w:w="1074" w:type="dxa"/>
            <w:vAlign w:val="center"/>
          </w:tcPr>
          <w:p w:rsidR="004629A4" w:rsidRDefault="004629A4" w:rsidP="006D47C8">
            <w:pPr>
              <w:spacing w:after="2" w:line="236" w:lineRule="auto"/>
              <w:ind w:left="32" w:right="34"/>
              <w:jc w:val="center"/>
            </w:pPr>
            <w:r>
              <w:rPr>
                <w:sz w:val="20"/>
              </w:rPr>
              <w:t>Значения по итогам</w:t>
            </w:r>
          </w:p>
          <w:p w:rsidR="004629A4" w:rsidRDefault="004629A4" w:rsidP="006D47C8">
            <w:pPr>
              <w:spacing w:after="0" w:line="259" w:lineRule="auto"/>
              <w:ind w:left="17"/>
              <w:jc w:val="center"/>
            </w:pPr>
            <w:r>
              <w:rPr>
                <w:sz w:val="20"/>
              </w:rPr>
              <w:t>2025 года</w:t>
            </w:r>
          </w:p>
        </w:tc>
      </w:tr>
      <w:tr w:rsidR="004629A4" w:rsidTr="0004298B">
        <w:trPr>
          <w:gridAfter w:val="1"/>
          <w:wAfter w:w="7" w:type="dxa"/>
        </w:trPr>
        <w:tc>
          <w:tcPr>
            <w:tcW w:w="658" w:type="dxa"/>
            <w:vAlign w:val="center"/>
          </w:tcPr>
          <w:p w:rsidR="004629A4" w:rsidRDefault="004629A4" w:rsidP="006D47C8">
            <w:pPr>
              <w:spacing w:after="0" w:line="259" w:lineRule="auto"/>
              <w:ind w:right="13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582" w:type="dxa"/>
            <w:vAlign w:val="center"/>
          </w:tcPr>
          <w:p w:rsidR="004629A4" w:rsidRDefault="004629A4" w:rsidP="006D47C8">
            <w:pPr>
              <w:spacing w:after="0" w:line="259" w:lineRule="auto"/>
              <w:ind w:right="29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4629A4" w:rsidRDefault="004629A4" w:rsidP="006D47C8">
            <w:pPr>
              <w:spacing w:after="0" w:line="259" w:lineRule="auto"/>
              <w:ind w:right="16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1242" w:type="dxa"/>
            <w:vAlign w:val="center"/>
          </w:tcPr>
          <w:p w:rsidR="004629A4" w:rsidRDefault="004629A4" w:rsidP="006D47C8">
            <w:pPr>
              <w:spacing w:after="0" w:line="259" w:lineRule="auto"/>
              <w:ind w:right="7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009" w:type="dxa"/>
            <w:vAlign w:val="center"/>
          </w:tcPr>
          <w:p w:rsidR="004629A4" w:rsidRDefault="004629A4" w:rsidP="006D47C8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074" w:type="dxa"/>
            <w:vAlign w:val="center"/>
          </w:tcPr>
          <w:p w:rsidR="004629A4" w:rsidRDefault="004629A4" w:rsidP="006D47C8">
            <w:pPr>
              <w:spacing w:after="0" w:line="259" w:lineRule="auto"/>
              <w:ind w:left="8"/>
              <w:jc w:val="center"/>
            </w:pPr>
            <w:r>
              <w:rPr>
                <w:sz w:val="22"/>
              </w:rPr>
              <w:t>6</w:t>
            </w:r>
          </w:p>
        </w:tc>
      </w:tr>
      <w:tr w:rsidR="004629A4" w:rsidTr="0004298B">
        <w:tc>
          <w:tcPr>
            <w:tcW w:w="9760" w:type="dxa"/>
            <w:gridSpan w:val="7"/>
            <w:vAlign w:val="center"/>
          </w:tcPr>
          <w:p w:rsidR="004629A4" w:rsidRDefault="004629A4" w:rsidP="006D47C8">
            <w:pPr>
              <w:tabs>
                <w:tab w:val="left" w:pos="5459"/>
              </w:tabs>
              <w:jc w:val="center"/>
            </w:pPr>
            <w:r>
              <w:rPr>
                <w:sz w:val="24"/>
              </w:rPr>
              <w:t>Критерии качества медицинской помощи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7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5" w:hanging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лизни зарегистрированных заболеваний в течение года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4629A4" w:rsidRPr="0004298B" w:rsidRDefault="004629A4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  <w:p w:rsidR="004629A4" w:rsidRPr="0004298B" w:rsidRDefault="004629A4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3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5,7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5,9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13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5,9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8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5" w:hanging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 xml:space="preserve">Доля впервые </w:t>
            </w:r>
            <w:proofErr w:type="spellStart"/>
            <w:r w:rsidRPr="0004298B">
              <w:rPr>
                <w:sz w:val="24"/>
                <w:szCs w:val="24"/>
              </w:rPr>
              <w:t>выявленньж</w:t>
            </w:r>
            <w:proofErr w:type="spellEnd"/>
            <w:r w:rsidRPr="0004298B">
              <w:rPr>
                <w:sz w:val="24"/>
                <w:szCs w:val="24"/>
              </w:rPr>
              <w:t xml:space="preserve">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3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70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2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75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17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80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6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З.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0" w:firstLine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</w:t>
            </w:r>
            <w:r w:rsidR="009F2CDD" w:rsidRPr="0004298B">
              <w:rPr>
                <w:sz w:val="24"/>
                <w:szCs w:val="24"/>
              </w:rPr>
              <w:t>ервые в жизни зарегистрированных</w:t>
            </w:r>
            <w:r w:rsidRPr="0004298B">
              <w:rPr>
                <w:sz w:val="24"/>
                <w:szCs w:val="24"/>
              </w:rPr>
              <w:t xml:space="preserve"> онкологических заболеваний в течение года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24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1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24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3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25</w:t>
            </w:r>
          </w:p>
        </w:tc>
      </w:tr>
      <w:tr w:rsidR="009F2CDD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9F2CDD" w:rsidRPr="0004298B" w:rsidRDefault="009F2CDD" w:rsidP="0004298B">
            <w:pPr>
              <w:spacing w:after="0" w:line="259" w:lineRule="auto"/>
              <w:ind w:right="16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9F2CDD" w:rsidRPr="0004298B" w:rsidRDefault="009F2CDD" w:rsidP="0004298B">
            <w:pPr>
              <w:spacing w:after="0" w:line="259" w:lineRule="auto"/>
              <w:ind w:right="10" w:firstLine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9F2CDD" w:rsidRPr="0004298B" w:rsidRDefault="009F2CDD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9F2CDD" w:rsidRPr="0004298B" w:rsidRDefault="009F2CDD" w:rsidP="0004298B">
            <w:pPr>
              <w:spacing w:after="0" w:line="259" w:lineRule="auto"/>
              <w:ind w:right="1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0,15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F2CDD" w:rsidRPr="0004298B" w:rsidRDefault="009F2CDD" w:rsidP="0004298B">
            <w:pPr>
              <w:spacing w:after="0" w:line="259" w:lineRule="auto"/>
              <w:ind w:right="11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0,15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9F2CDD" w:rsidRPr="0004298B" w:rsidRDefault="009F2CDD" w:rsidP="0004298B">
            <w:pPr>
              <w:spacing w:after="0" w:line="259" w:lineRule="auto"/>
              <w:ind w:right="13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0,15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9F2CDD" w:rsidP="0004298B">
            <w:pPr>
              <w:spacing w:after="0" w:line="259" w:lineRule="auto"/>
              <w:ind w:right="26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5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0" w:firstLine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</w:t>
            </w:r>
            <w:r w:rsidR="009F2CDD" w:rsidRPr="0004298B">
              <w:rPr>
                <w:sz w:val="24"/>
                <w:szCs w:val="24"/>
              </w:rPr>
              <w:t>ля пациентов со злокачественными</w:t>
            </w:r>
            <w:r w:rsidRPr="0004298B">
              <w:rPr>
                <w:sz w:val="24"/>
                <w:szCs w:val="24"/>
              </w:rPr>
              <w:t xml:space="preserve">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  <w:p w:rsidR="006D47C8" w:rsidRPr="0004298B" w:rsidRDefault="006D47C8" w:rsidP="0004298B">
            <w:pPr>
              <w:spacing w:after="0" w:line="259" w:lineRule="auto"/>
              <w:ind w:right="10" w:firstLine="5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2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11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100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9F2CDD" w:rsidP="0004298B">
            <w:pPr>
              <w:spacing w:after="0" w:line="259" w:lineRule="auto"/>
              <w:ind w:right="21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lastRenderedPageBreak/>
              <w:t>6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5" w:right="10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21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69,5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1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69,6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69,8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9F2CDD" w:rsidP="0004298B">
            <w:pPr>
              <w:spacing w:after="0" w:line="259" w:lineRule="auto"/>
              <w:ind w:right="16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7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5" w:right="10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04298B">
              <w:rPr>
                <w:sz w:val="24"/>
                <w:szCs w:val="24"/>
              </w:rPr>
              <w:t>стентирование</w:t>
            </w:r>
            <w:proofErr w:type="spellEnd"/>
            <w:r w:rsidRPr="0004298B">
              <w:rPr>
                <w:sz w:val="24"/>
                <w:szCs w:val="24"/>
              </w:rPr>
              <w:t xml:space="preserve"> коронарных артерий, в об</w:t>
            </w:r>
            <w:r w:rsidR="009F2CDD" w:rsidRPr="0004298B">
              <w:rPr>
                <w:sz w:val="24"/>
                <w:szCs w:val="24"/>
              </w:rPr>
              <w:t>щем количестве пациентов с остры</w:t>
            </w:r>
            <w:r w:rsidRPr="0004298B">
              <w:rPr>
                <w:sz w:val="24"/>
                <w:szCs w:val="24"/>
              </w:rPr>
              <w:t>м инфарктом миокарда, имеющих показания к его проведению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21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48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48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49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9F2CDD" w:rsidP="0004298B">
            <w:pPr>
              <w:spacing w:after="0" w:line="259" w:lineRule="auto"/>
              <w:ind w:right="7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8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9F2CDD" w:rsidP="0004298B">
            <w:pPr>
              <w:spacing w:after="0" w:line="259" w:lineRule="auto"/>
              <w:ind w:left="10" w:right="10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пациентов с острым и повторным инфарктом миокарда, которым</w:t>
            </w:r>
            <w:r w:rsidR="004629A4" w:rsidRPr="0004298B">
              <w:rPr>
                <w:sz w:val="24"/>
                <w:szCs w:val="24"/>
              </w:rPr>
              <w:t xml:space="preserve"> выездной бр</w:t>
            </w:r>
            <w:r w:rsidRPr="0004298B">
              <w:rPr>
                <w:sz w:val="24"/>
                <w:szCs w:val="24"/>
              </w:rPr>
              <w:t>игадой скорой медицинской помощи</w:t>
            </w:r>
            <w:r w:rsidR="004629A4" w:rsidRPr="0004298B">
              <w:rPr>
                <w:sz w:val="24"/>
                <w:szCs w:val="24"/>
              </w:rPr>
              <w:t xml:space="preserve"> проведен </w:t>
            </w:r>
            <w:proofErr w:type="spellStart"/>
            <w:r w:rsidR="004629A4" w:rsidRPr="0004298B">
              <w:rPr>
                <w:sz w:val="24"/>
                <w:szCs w:val="24"/>
              </w:rPr>
              <w:t>тромболизис</w:t>
            </w:r>
            <w:proofErr w:type="spellEnd"/>
            <w:r w:rsidR="004629A4" w:rsidRPr="0004298B">
              <w:rPr>
                <w:sz w:val="24"/>
                <w:szCs w:val="24"/>
              </w:rPr>
              <w:t>, в об</w:t>
            </w:r>
            <w:r w:rsidRPr="0004298B">
              <w:rPr>
                <w:sz w:val="24"/>
                <w:szCs w:val="24"/>
              </w:rPr>
              <w:t>щем количестве пациентов с острым и повторны</w:t>
            </w:r>
            <w:r w:rsidR="004629A4" w:rsidRPr="0004298B">
              <w:rPr>
                <w:sz w:val="24"/>
                <w:szCs w:val="24"/>
              </w:rPr>
              <w:t>м инфарктом миокарда, имеющих пока</w:t>
            </w:r>
            <w:r w:rsidRPr="0004298B">
              <w:rPr>
                <w:sz w:val="24"/>
                <w:szCs w:val="24"/>
              </w:rPr>
              <w:t>зания к его проведению, которым</w:t>
            </w:r>
            <w:r w:rsidR="004629A4" w:rsidRPr="0004298B">
              <w:rPr>
                <w:sz w:val="24"/>
                <w:szCs w:val="24"/>
              </w:rPr>
              <w:t xml:space="preserve"> оказана медицинская помощь выездными бригадами скорой медицинской </w:t>
            </w:r>
            <w:r w:rsidRPr="0004298B">
              <w:rPr>
                <w:sz w:val="24"/>
                <w:szCs w:val="24"/>
              </w:rPr>
              <w:t>помощи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17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17,2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13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17,9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18,1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9F2CDD" w:rsidP="0004298B">
            <w:pPr>
              <w:spacing w:after="0" w:line="259" w:lineRule="auto"/>
              <w:ind w:right="2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9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9F2CDD" w:rsidP="0004298B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пациентов с острым инфарктом миокарда, которым</w:t>
            </w:r>
            <w:r w:rsidR="004629A4" w:rsidRPr="0004298B">
              <w:rPr>
                <w:sz w:val="24"/>
                <w:szCs w:val="24"/>
              </w:rPr>
              <w:t xml:space="preserve"> проведена </w:t>
            </w:r>
            <w:proofErr w:type="spellStart"/>
            <w:r w:rsidR="004629A4" w:rsidRPr="0004298B">
              <w:rPr>
                <w:sz w:val="24"/>
                <w:szCs w:val="24"/>
              </w:rPr>
              <w:t>тромболитическая</w:t>
            </w:r>
            <w:proofErr w:type="spellEnd"/>
            <w:r w:rsidR="004629A4" w:rsidRPr="0004298B">
              <w:rPr>
                <w:sz w:val="24"/>
                <w:szCs w:val="24"/>
              </w:rPr>
              <w:t xml:space="preserve"> терапия, в обще</w:t>
            </w:r>
            <w:r w:rsidRPr="0004298B">
              <w:rPr>
                <w:sz w:val="24"/>
                <w:szCs w:val="24"/>
              </w:rPr>
              <w:t>м количестве пациентов с острым</w:t>
            </w:r>
            <w:r w:rsidR="004629A4" w:rsidRPr="0004298B">
              <w:rPr>
                <w:sz w:val="24"/>
                <w:szCs w:val="24"/>
              </w:rPr>
              <w:t xml:space="preserve"> инфарктом миокарда, имеющих показания к ее проведению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6D47C8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6D47C8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30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21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31,1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3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31,1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9F2CDD" w:rsidP="0004298B">
            <w:pPr>
              <w:spacing w:after="0" w:line="259" w:lineRule="auto"/>
              <w:ind w:right="22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10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9F2CDD" w:rsidP="0004298B">
            <w:pPr>
              <w:spacing w:after="0" w:line="269" w:lineRule="auto"/>
              <w:ind w:left="101" w:right="106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пациентов С острым</w:t>
            </w:r>
            <w:r w:rsidR="004629A4" w:rsidRPr="0004298B">
              <w:rPr>
                <w:sz w:val="24"/>
                <w:szCs w:val="24"/>
              </w:rPr>
              <w:t>и цереброваскулярными болезнями, госпитализированных в первые 6 часов от начала заболевания, в общем количестве госпитализированных в первичные</w:t>
            </w:r>
          </w:p>
          <w:p w:rsidR="004629A4" w:rsidRPr="0004298B" w:rsidRDefault="004629A4" w:rsidP="0004298B">
            <w:pPr>
              <w:spacing w:after="0" w:line="259" w:lineRule="auto"/>
              <w:ind w:left="101" w:right="110" w:firstLine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6D47C8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1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40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9F2CDD" w:rsidP="0004298B">
            <w:pPr>
              <w:spacing w:after="0" w:line="259" w:lineRule="auto"/>
              <w:ind w:left="136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11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9F2CDD" w:rsidP="0004298B">
            <w:pPr>
              <w:spacing w:after="0" w:line="291" w:lineRule="auto"/>
              <w:ind w:left="96" w:right="106" w:firstLine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пациентов с остры</w:t>
            </w:r>
            <w:r w:rsidR="004629A4" w:rsidRPr="0004298B">
              <w:rPr>
                <w:sz w:val="24"/>
                <w:szCs w:val="24"/>
              </w:rPr>
              <w:t>м</w:t>
            </w:r>
            <w:r w:rsidRPr="0004298B">
              <w:rPr>
                <w:sz w:val="24"/>
                <w:szCs w:val="24"/>
              </w:rPr>
              <w:t xml:space="preserve"> ишемическим инсультом, которым</w:t>
            </w:r>
            <w:r w:rsidR="004629A4" w:rsidRPr="0004298B">
              <w:rPr>
                <w:sz w:val="24"/>
                <w:szCs w:val="24"/>
              </w:rPr>
              <w:t xml:space="preserve"> проведена </w:t>
            </w:r>
            <w:proofErr w:type="spellStart"/>
            <w:r w:rsidR="004629A4" w:rsidRPr="0004298B">
              <w:rPr>
                <w:sz w:val="24"/>
                <w:szCs w:val="24"/>
              </w:rPr>
              <w:t>тромболитическая</w:t>
            </w:r>
            <w:proofErr w:type="spellEnd"/>
            <w:r w:rsidR="004629A4" w:rsidRPr="0004298B">
              <w:rPr>
                <w:sz w:val="24"/>
                <w:szCs w:val="24"/>
              </w:rPr>
              <w:t xml:space="preserve"> терапия, в общем</w:t>
            </w:r>
          </w:p>
          <w:p w:rsidR="004629A4" w:rsidRPr="0004298B" w:rsidRDefault="009F2CDD" w:rsidP="0004298B">
            <w:pPr>
              <w:spacing w:after="0" w:line="259" w:lineRule="auto"/>
              <w:ind w:left="101" w:right="11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количестве пациентов с острым</w:t>
            </w:r>
            <w:r w:rsidR="004629A4" w:rsidRPr="0004298B">
              <w:rPr>
                <w:sz w:val="24"/>
                <w:szCs w:val="24"/>
              </w:rPr>
              <w:t xml:space="preserve">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6D47C8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20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5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6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9F2CDD" w:rsidP="0004298B">
            <w:pPr>
              <w:spacing w:after="0" w:line="259" w:lineRule="auto"/>
              <w:ind w:right="3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lastRenderedPageBreak/>
              <w:t>12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46" w:line="274" w:lineRule="auto"/>
              <w:ind w:left="101" w:hanging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паци</w:t>
            </w:r>
            <w:r w:rsidR="009F2CDD" w:rsidRPr="0004298B">
              <w:rPr>
                <w:sz w:val="24"/>
                <w:szCs w:val="24"/>
              </w:rPr>
              <w:t>ентов с острым инсультом, которы</w:t>
            </w:r>
            <w:r w:rsidRPr="0004298B">
              <w:rPr>
                <w:sz w:val="24"/>
                <w:szCs w:val="24"/>
              </w:rPr>
              <w:t>м</w:t>
            </w:r>
            <w:r w:rsidR="009F2CDD" w:rsidRPr="0004298B">
              <w:rPr>
                <w:sz w:val="24"/>
                <w:szCs w:val="24"/>
              </w:rPr>
              <w:t xml:space="preserve"> проведена</w:t>
            </w:r>
            <w:r w:rsidRPr="0004298B">
              <w:rPr>
                <w:sz w:val="24"/>
                <w:szCs w:val="24"/>
              </w:rPr>
              <w:t xml:space="preserve"> </w:t>
            </w:r>
            <w:proofErr w:type="spellStart"/>
            <w:r w:rsidRPr="0004298B">
              <w:rPr>
                <w:sz w:val="24"/>
                <w:szCs w:val="24"/>
              </w:rPr>
              <w:t>тромболитическая</w:t>
            </w:r>
            <w:proofErr w:type="spellEnd"/>
            <w:r w:rsidRPr="0004298B">
              <w:rPr>
                <w:sz w:val="24"/>
                <w:szCs w:val="24"/>
              </w:rPr>
              <w:t xml:space="preserve"> терапия,</w:t>
            </w:r>
          </w:p>
          <w:p w:rsidR="004629A4" w:rsidRPr="0004298B" w:rsidRDefault="004629A4" w:rsidP="0004298B">
            <w:pPr>
              <w:spacing w:after="0" w:line="259" w:lineRule="auto"/>
              <w:ind w:left="101" w:firstLine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количестве</w:t>
            </w:r>
            <w:r w:rsidRPr="0004298B">
              <w:rPr>
                <w:sz w:val="24"/>
                <w:szCs w:val="24"/>
              </w:rPr>
              <w:tab/>
              <w:t>пациентов ишемическим госпитализированных</w:t>
            </w:r>
            <w:r w:rsidRPr="0004298B">
              <w:rPr>
                <w:sz w:val="24"/>
                <w:szCs w:val="24"/>
              </w:rPr>
              <w:tab/>
              <w:t>в сосудистые отделения или сосудистые центры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6D47C8" w:rsidP="0004298B">
            <w:pPr>
              <w:spacing w:after="0" w:line="360" w:lineRule="auto"/>
              <w:ind w:firstLine="28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6D47C8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5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6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9F2CDD" w:rsidP="0004298B">
            <w:pPr>
              <w:spacing w:after="0" w:line="259" w:lineRule="auto"/>
              <w:ind w:left="141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13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106" w:right="106" w:hanging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6D47C8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13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1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1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100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9F2CDD" w:rsidP="0004298B">
            <w:pPr>
              <w:spacing w:after="0" w:line="259" w:lineRule="auto"/>
              <w:ind w:left="11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14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106" w:right="101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Количество обоснованных жалоб, в том числе на несоблюдение сроков оказания и на отказ в оказании медицинской помощи, предоставляемой в рамках Программы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7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ед.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47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47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44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0" w:line="259" w:lineRule="auto"/>
              <w:ind w:left="11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15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106" w:right="106" w:firstLine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Количество случаев госпитализации с диагнозом «Бронхиальная астма» на 100 тыс. населения в год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3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ед.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65,7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65,5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65,5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0" w:line="259" w:lineRule="auto"/>
              <w:ind w:left="16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16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106" w:right="101" w:firstLine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 xml:space="preserve">Количество случаев госпитализации с диагнозом «Хроническая </w:t>
            </w:r>
            <w:proofErr w:type="spellStart"/>
            <w:r w:rsidRPr="0004298B">
              <w:rPr>
                <w:sz w:val="24"/>
                <w:szCs w:val="24"/>
              </w:rPr>
              <w:t>обструктивная</w:t>
            </w:r>
            <w:proofErr w:type="spellEnd"/>
            <w:r w:rsidRPr="0004298B">
              <w:rPr>
                <w:sz w:val="24"/>
                <w:szCs w:val="24"/>
              </w:rPr>
              <w:t xml:space="preserve"> болезнь легких» на 100 тыс. населения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ед.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1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173,5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1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173,5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23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173,5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0" w:line="259" w:lineRule="auto"/>
              <w:ind w:right="2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17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91" w:lineRule="auto"/>
              <w:ind w:firstLine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Количество случаев госпитализации с диагнозом «Хроническая сердечная</w:t>
            </w:r>
          </w:p>
          <w:p w:rsidR="004629A4" w:rsidRPr="0004298B" w:rsidRDefault="004629A4" w:rsidP="0004298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недостаточность» на 100 тыс. населения в год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ед.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32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20,1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20,2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3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20,3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0" w:line="259" w:lineRule="auto"/>
              <w:ind w:right="2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18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31" w:line="236" w:lineRule="auto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Количество случаев госпитализации с диагнозом «Гипертоническая болезнь» на</w:t>
            </w:r>
          </w:p>
          <w:p w:rsidR="004629A4" w:rsidRPr="0004298B" w:rsidRDefault="004629A4" w:rsidP="0004298B">
            <w:pPr>
              <w:spacing w:after="0" w:line="259" w:lineRule="auto"/>
              <w:ind w:left="29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100 тыс. населения в год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ед.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875,0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4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875,0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875,0</w:t>
            </w:r>
          </w:p>
        </w:tc>
      </w:tr>
      <w:tr w:rsidR="004629A4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19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35" w:lineRule="auto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Количество случаев госпитализации с диагнозом «Сахарный диабет» на 100 тыс.</w:t>
            </w:r>
          </w:p>
          <w:p w:rsidR="004629A4" w:rsidRPr="0004298B" w:rsidRDefault="004629A4" w:rsidP="0004298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населения в год</w:t>
            </w:r>
          </w:p>
          <w:p w:rsidR="006D47C8" w:rsidRPr="0004298B" w:rsidRDefault="006D47C8" w:rsidP="0004298B">
            <w:pPr>
              <w:spacing w:after="0" w:line="259" w:lineRule="auto"/>
              <w:ind w:left="5"/>
              <w:rPr>
                <w:sz w:val="24"/>
                <w:szCs w:val="24"/>
              </w:rPr>
            </w:pPr>
          </w:p>
          <w:p w:rsidR="006D47C8" w:rsidRPr="0004298B" w:rsidRDefault="006D47C8" w:rsidP="0004298B">
            <w:pPr>
              <w:spacing w:after="0" w:line="259" w:lineRule="auto"/>
              <w:ind w:left="5"/>
              <w:rPr>
                <w:sz w:val="24"/>
                <w:szCs w:val="24"/>
              </w:rPr>
            </w:pPr>
          </w:p>
          <w:p w:rsidR="006D47C8" w:rsidRPr="0004298B" w:rsidRDefault="006D47C8" w:rsidP="0004298B">
            <w:pPr>
              <w:spacing w:after="0" w:line="259" w:lineRule="auto"/>
              <w:ind w:left="5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ед.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23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429,5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430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4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432</w:t>
            </w:r>
          </w:p>
        </w:tc>
      </w:tr>
      <w:tr w:rsidR="00656E6E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20.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35" w:lineRule="auto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Количество пациентов с гепатитом С, получивших противовирусную терапию, на 100 тыс. населения в год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right="1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ед.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right="23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44,9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right="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47,9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right="4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51,9</w:t>
            </w:r>
          </w:p>
        </w:tc>
      </w:tr>
      <w:tr w:rsidR="00656E6E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21.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35" w:lineRule="auto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пациентов, прооперированных в течении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right="1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right="23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70,0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right="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90,0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right="4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95,0</w:t>
            </w:r>
          </w:p>
        </w:tc>
      </w:tr>
      <w:tr w:rsidR="004629A4" w:rsidTr="0004298B">
        <w:tc>
          <w:tcPr>
            <w:tcW w:w="9760" w:type="dxa"/>
            <w:gridSpan w:val="7"/>
            <w:shd w:val="clear" w:color="auto" w:fill="FFFFFF" w:themeFill="background1"/>
            <w:vAlign w:val="center"/>
          </w:tcPr>
          <w:p w:rsidR="004629A4" w:rsidRPr="0004298B" w:rsidRDefault="006D47C8" w:rsidP="0004298B">
            <w:pPr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Критерии доступности медицинской помощи</w:t>
            </w:r>
          </w:p>
        </w:tc>
      </w:tr>
      <w:tr w:rsidR="004629A4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lastRenderedPageBreak/>
              <w:t>22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1" w:lineRule="auto"/>
              <w:ind w:left="5" w:hanging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Удовлетворенность населения доступностью медицинской помощи, в том</w:t>
            </w:r>
          </w:p>
          <w:p w:rsidR="004629A4" w:rsidRPr="0004298B" w:rsidRDefault="004629A4" w:rsidP="0004298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числе городского и сельского населения</w:t>
            </w:r>
          </w:p>
          <w:p w:rsidR="004629A4" w:rsidRPr="0004298B" w:rsidRDefault="004629A4" w:rsidP="0004298B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(процентов числа опрошенных)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6D47C8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3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31,5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4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36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4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40</w:t>
            </w:r>
          </w:p>
        </w:tc>
      </w:tr>
      <w:tr w:rsidR="004629A4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0" w:line="259" w:lineRule="auto"/>
              <w:ind w:left="17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23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расходов на оказание медицинской</w:t>
            </w:r>
          </w:p>
          <w:p w:rsidR="004629A4" w:rsidRPr="0004298B" w:rsidRDefault="004629A4" w:rsidP="0004298B">
            <w:pPr>
              <w:spacing w:after="0" w:line="259" w:lineRule="auto"/>
              <w:ind w:left="10" w:hanging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помощи в условиях дневных стационаров в общих расходах на настоящую Программу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6D47C8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9,2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0" w:line="259" w:lineRule="auto"/>
              <w:ind w:right="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9,3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9,3</w:t>
            </w:r>
          </w:p>
        </w:tc>
      </w:tr>
      <w:tr w:rsidR="00656E6E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left="17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24.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0,3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right="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0,5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0,7</w:t>
            </w:r>
          </w:p>
        </w:tc>
      </w:tr>
      <w:tr w:rsidR="00656E6E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left="22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25</w:t>
            </w:r>
            <w:r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left="5" w:hanging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left="1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0,16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0,16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656E6E" w:rsidRPr="0004298B" w:rsidRDefault="00656E6E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0,16</w:t>
            </w:r>
          </w:p>
        </w:tc>
      </w:tr>
      <w:tr w:rsidR="004629A4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0" w:line="259" w:lineRule="auto"/>
              <w:ind w:left="22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26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6D47C8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61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2,4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61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2,7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2,7</w:t>
            </w:r>
          </w:p>
        </w:tc>
      </w:tr>
      <w:tr w:rsidR="004629A4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04298B" w:rsidP="0004298B">
            <w:pPr>
              <w:spacing w:after="0" w:line="259" w:lineRule="auto"/>
              <w:ind w:left="16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27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0" w:line="259" w:lineRule="auto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Число пациентов, которым</w:t>
            </w:r>
            <w:r w:rsidR="004629A4" w:rsidRPr="0004298B">
              <w:rPr>
                <w:sz w:val="24"/>
                <w:szCs w:val="24"/>
              </w:rPr>
              <w:t xml:space="preserve">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0" w:line="259" w:lineRule="auto"/>
              <w:ind w:left="256" w:hanging="235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едини</w:t>
            </w:r>
            <w:r w:rsidR="004629A4" w:rsidRPr="0004298B">
              <w:rPr>
                <w:sz w:val="24"/>
                <w:szCs w:val="24"/>
              </w:rPr>
              <w:t>ц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0" w:line="259" w:lineRule="auto"/>
              <w:ind w:right="7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300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0" w:line="259" w:lineRule="auto"/>
              <w:ind w:right="2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300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656E6E" w:rsidP="0004298B">
            <w:pPr>
              <w:spacing w:after="0" w:line="259" w:lineRule="auto"/>
              <w:ind w:right="2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300</w:t>
            </w:r>
          </w:p>
        </w:tc>
      </w:tr>
      <w:tr w:rsidR="004629A4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04298B" w:rsidP="0004298B">
            <w:pPr>
              <w:spacing w:after="0" w:line="259" w:lineRule="auto"/>
              <w:ind w:left="16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28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6D47C8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6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41,5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11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45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50</w:t>
            </w:r>
          </w:p>
        </w:tc>
      </w:tr>
      <w:tr w:rsidR="004629A4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4629A4" w:rsidRPr="0004298B" w:rsidRDefault="0004298B" w:rsidP="0004298B">
            <w:pPr>
              <w:spacing w:after="0" w:line="259" w:lineRule="auto"/>
              <w:ind w:left="21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29</w:t>
            </w:r>
            <w:r w:rsidR="004629A4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граж</w:t>
            </w:r>
            <w:r w:rsidR="0004298B" w:rsidRPr="0004298B">
              <w:rPr>
                <w:sz w:val="24"/>
                <w:szCs w:val="24"/>
              </w:rPr>
              <w:t>дан, обеспеченных лекарственным</w:t>
            </w:r>
            <w:r w:rsidRPr="0004298B">
              <w:rPr>
                <w:sz w:val="24"/>
                <w:szCs w:val="24"/>
              </w:rPr>
              <w:t>и препаратами, в общем количестве льготных категорий граждан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29A4" w:rsidRPr="0004298B" w:rsidRDefault="006D47C8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59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60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left="65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629A4" w:rsidRPr="0004298B" w:rsidRDefault="004629A4" w:rsidP="0004298B">
            <w:pPr>
              <w:spacing w:after="0" w:line="259" w:lineRule="auto"/>
              <w:ind w:right="50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60</w:t>
            </w:r>
          </w:p>
        </w:tc>
      </w:tr>
      <w:tr w:rsidR="0004298B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04298B" w:rsidRPr="0004298B" w:rsidRDefault="0004298B" w:rsidP="0004298B">
            <w:pPr>
              <w:spacing w:after="0" w:line="259" w:lineRule="auto"/>
              <w:ind w:left="21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30.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04298B" w:rsidRPr="0004298B" w:rsidRDefault="0004298B" w:rsidP="0004298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 xml:space="preserve">Число пациентов, зарегистрированных на территории субъекта Российской Федерации по месту жительства, за оказание паллиативной медицинской </w:t>
            </w:r>
            <w:r w:rsidRPr="0004298B">
              <w:rPr>
                <w:sz w:val="24"/>
                <w:szCs w:val="24"/>
              </w:rPr>
              <w:lastRenderedPageBreak/>
              <w:t>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04298B" w:rsidRPr="0004298B" w:rsidRDefault="0004298B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4298B" w:rsidRPr="0004298B" w:rsidRDefault="0004298B" w:rsidP="0004298B">
            <w:pPr>
              <w:spacing w:after="0" w:line="259" w:lineRule="auto"/>
              <w:ind w:right="59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4298B" w:rsidRPr="0004298B" w:rsidRDefault="0004298B" w:rsidP="0004298B">
            <w:pPr>
              <w:spacing w:after="0" w:line="259" w:lineRule="auto"/>
              <w:ind w:left="65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04298B" w:rsidRPr="0004298B" w:rsidRDefault="0004298B" w:rsidP="0004298B">
            <w:pPr>
              <w:spacing w:after="0" w:line="259" w:lineRule="auto"/>
              <w:ind w:right="50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1</w:t>
            </w:r>
          </w:p>
        </w:tc>
      </w:tr>
      <w:tr w:rsidR="006D47C8" w:rsidTr="0004298B">
        <w:trPr>
          <w:gridAfter w:val="1"/>
          <w:wAfter w:w="7" w:type="dxa"/>
        </w:trPr>
        <w:tc>
          <w:tcPr>
            <w:tcW w:w="658" w:type="dxa"/>
            <w:shd w:val="clear" w:color="auto" w:fill="FFFFFF" w:themeFill="background1"/>
            <w:vAlign w:val="center"/>
          </w:tcPr>
          <w:p w:rsidR="006D47C8" w:rsidRPr="0004298B" w:rsidRDefault="0004298B" w:rsidP="0004298B">
            <w:pPr>
              <w:spacing w:after="0" w:line="259" w:lineRule="auto"/>
              <w:ind w:left="21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lastRenderedPageBreak/>
              <w:t>31</w:t>
            </w:r>
            <w:r w:rsidR="006D47C8" w:rsidRPr="0004298B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  <w:shd w:val="clear" w:color="auto" w:fill="FFFFFF" w:themeFill="background1"/>
            <w:vAlign w:val="center"/>
          </w:tcPr>
          <w:p w:rsidR="006D47C8" w:rsidRPr="0004298B" w:rsidRDefault="0004298B" w:rsidP="0004298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6D47C8" w:rsidRPr="0004298B" w:rsidRDefault="006D47C8" w:rsidP="0004298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6D47C8" w:rsidRPr="0004298B" w:rsidRDefault="0004298B" w:rsidP="0004298B">
            <w:pPr>
              <w:spacing w:after="0" w:line="259" w:lineRule="auto"/>
              <w:ind w:left="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80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6D47C8" w:rsidRPr="0004298B" w:rsidRDefault="0004298B" w:rsidP="0004298B">
            <w:pPr>
              <w:spacing w:after="0" w:line="259" w:lineRule="auto"/>
              <w:ind w:left="8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04298B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6D47C8" w:rsidRPr="0004298B" w:rsidRDefault="0004298B" w:rsidP="0004298B">
            <w:pPr>
              <w:spacing w:after="0" w:line="259" w:lineRule="auto"/>
              <w:ind w:left="17"/>
              <w:jc w:val="center"/>
              <w:rPr>
                <w:sz w:val="24"/>
                <w:szCs w:val="24"/>
              </w:rPr>
            </w:pPr>
            <w:r w:rsidRPr="0004298B">
              <w:rPr>
                <w:sz w:val="24"/>
                <w:szCs w:val="24"/>
              </w:rPr>
              <w:t>80</w:t>
            </w:r>
          </w:p>
        </w:tc>
      </w:tr>
    </w:tbl>
    <w:p w:rsidR="004629A4" w:rsidRDefault="004629A4" w:rsidP="004629A4"/>
    <w:sectPr w:rsidR="0046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58"/>
    <w:rsid w:val="0004298B"/>
    <w:rsid w:val="004629A4"/>
    <w:rsid w:val="00656E6E"/>
    <w:rsid w:val="006D47C8"/>
    <w:rsid w:val="009F2CDD"/>
    <w:rsid w:val="00AA4653"/>
    <w:rsid w:val="00C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452F"/>
  <w15:chartTrackingRefBased/>
  <w15:docId w15:val="{3A7E5D9E-901B-4A7B-845E-80B3BA6B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A4"/>
    <w:pPr>
      <w:spacing w:after="216" w:line="244" w:lineRule="auto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Бездельник</dc:creator>
  <cp:keywords/>
  <dc:description/>
  <cp:lastModifiedBy>Admin</cp:lastModifiedBy>
  <cp:revision>3</cp:revision>
  <dcterms:created xsi:type="dcterms:W3CDTF">2023-02-20T16:26:00Z</dcterms:created>
  <dcterms:modified xsi:type="dcterms:W3CDTF">2023-07-11T09:05:00Z</dcterms:modified>
</cp:coreProperties>
</file>